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3D8" w:rsidRDefault="001673D8" w:rsidP="001673D8">
      <w:pPr>
        <w:pStyle w:val="Balk2"/>
        <w:spacing w:after="337" w:line="259" w:lineRule="auto"/>
        <w:ind w:left="14" w:firstLine="0"/>
        <w:jc w:val="center"/>
      </w:pPr>
      <w:r>
        <w:t>KKKY TEBLİĞ TEBELLÜĞ BELGESİ</w:t>
      </w:r>
    </w:p>
    <w:tbl>
      <w:tblPr>
        <w:tblStyle w:val="TableGrid"/>
        <w:tblW w:w="8903" w:type="dxa"/>
        <w:tblInd w:w="-7" w:type="dxa"/>
        <w:tblCellMar>
          <w:top w:w="32" w:type="dxa"/>
          <w:left w:w="411" w:type="dxa"/>
          <w:right w:w="547" w:type="dxa"/>
        </w:tblCellMar>
        <w:tblLook w:val="04A0" w:firstRow="1" w:lastRow="0" w:firstColumn="1" w:lastColumn="0" w:noHBand="0" w:noVBand="1"/>
      </w:tblPr>
      <w:tblGrid>
        <w:gridCol w:w="8903"/>
      </w:tblGrid>
      <w:tr w:rsidR="001673D8" w:rsidTr="00B920F0">
        <w:trPr>
          <w:trHeight w:val="562"/>
        </w:trPr>
        <w:tc>
          <w:tcPr>
            <w:tcW w:w="8903" w:type="dxa"/>
            <w:tcBorders>
              <w:top w:val="single" w:sz="2" w:space="0" w:color="000000"/>
              <w:left w:val="single" w:sz="2" w:space="0" w:color="000000"/>
              <w:bottom w:val="single" w:sz="2" w:space="0" w:color="000000"/>
              <w:right w:val="single" w:sz="2" w:space="0" w:color="000000"/>
            </w:tcBorders>
          </w:tcPr>
          <w:p w:rsidR="001673D8" w:rsidRDefault="001673D8" w:rsidP="00B920F0">
            <w:pPr>
              <w:spacing w:after="0" w:line="259" w:lineRule="auto"/>
              <w:ind w:left="0" w:firstLine="0"/>
              <w:jc w:val="center"/>
            </w:pPr>
            <w:r>
              <w:t>Kişi, KURUM VEYA KURULUŞ YETKİLİSİNİN GÖREV VE SORUMLULUKLARI</w:t>
            </w:r>
          </w:p>
        </w:tc>
      </w:tr>
      <w:tr w:rsidR="001673D8" w:rsidTr="00B920F0">
        <w:trPr>
          <w:trHeight w:val="5536"/>
        </w:trPr>
        <w:tc>
          <w:tcPr>
            <w:tcW w:w="8903" w:type="dxa"/>
            <w:tcBorders>
              <w:top w:val="single" w:sz="2" w:space="0" w:color="000000"/>
              <w:left w:val="single" w:sz="2" w:space="0" w:color="000000"/>
              <w:bottom w:val="single" w:sz="2" w:space="0" w:color="000000"/>
              <w:right w:val="single" w:sz="2" w:space="0" w:color="000000"/>
            </w:tcBorders>
          </w:tcPr>
          <w:p w:rsidR="001673D8" w:rsidRDefault="001673D8" w:rsidP="001673D8">
            <w:pPr>
              <w:numPr>
                <w:ilvl w:val="0"/>
                <w:numId w:val="1"/>
              </w:numPr>
              <w:spacing w:after="34" w:line="279" w:lineRule="auto"/>
              <w:ind w:hanging="360"/>
            </w:pPr>
            <w:r>
              <w:t xml:space="preserve">Özel güvenlik izni </w:t>
            </w:r>
            <w:r w:rsidR="00791218">
              <w:t>ve</w:t>
            </w:r>
            <w:r>
              <w:t>rilmesi, unvan değişikliği, personel ve (varsa) silah kadrolarının indirimi, artırımı, yeniden belirlenmesi veya özel güvenlik hizmet şeklinin değiştirilmesi ya da özel güvenlik uygulamasının sona erdirilmesi gibi İl Özel Güvenlik Komisyon kararı gerektiren iş ve işlemlerle ilgili baş</w:t>
            </w:r>
            <w:r w:rsidR="00791218">
              <w:t>v</w:t>
            </w:r>
            <w:r>
              <w:t>uruları yapmak.</w:t>
            </w:r>
          </w:p>
          <w:p w:rsidR="001673D8" w:rsidRDefault="001673D8" w:rsidP="001673D8">
            <w:pPr>
              <w:numPr>
                <w:ilvl w:val="0"/>
                <w:numId w:val="1"/>
              </w:numPr>
              <w:spacing w:after="25" w:line="276" w:lineRule="auto"/>
              <w:ind w:hanging="360"/>
            </w:pPr>
            <w:r>
              <w:t>Özel güvenlik birimi kurmak suretiyle faaliyet gösterilen yerlerde; kanunda belirtilen bildirimleri süresi içerisinde yapmak veya yaptırmak.</w:t>
            </w:r>
          </w:p>
          <w:p w:rsidR="001673D8" w:rsidRDefault="001673D8" w:rsidP="001673D8">
            <w:pPr>
              <w:numPr>
                <w:ilvl w:val="0"/>
                <w:numId w:val="1"/>
              </w:numPr>
              <w:spacing w:after="5" w:line="273" w:lineRule="auto"/>
              <w:ind w:hanging="360"/>
            </w:pPr>
            <w:r>
              <w:t>Özel g</w:t>
            </w:r>
            <w:r w:rsidR="00791218">
              <w:t>üv</w:t>
            </w:r>
            <w:r>
              <w:t>enl</w:t>
            </w:r>
            <w:r w:rsidR="00791218">
              <w:t>i</w:t>
            </w:r>
            <w:r>
              <w:t xml:space="preserve">k birimlerinde fiilen on beş kişi ve üzerinde özel güvenlik görevlisi istihdam edilmesi durumunda </w:t>
            </w:r>
            <w:r w:rsidR="00791218">
              <w:t xml:space="preserve">güvenlik </w:t>
            </w:r>
            <w:r>
              <w:t>sorumlusunu atamak ve süresi içerisinde bildirimini yapmak, ayrıca haberli denetim esnasında güvenlik sorumlusunun hazır bulunmasını sağlamak.</w:t>
            </w:r>
          </w:p>
          <w:p w:rsidR="001673D8" w:rsidRDefault="001673D8" w:rsidP="001673D8">
            <w:pPr>
              <w:numPr>
                <w:ilvl w:val="0"/>
                <w:numId w:val="1"/>
              </w:numPr>
              <w:spacing w:after="48" w:line="264" w:lineRule="auto"/>
              <w:ind w:hanging="360"/>
            </w:pPr>
            <w:r>
              <w:t xml:space="preserve">Yapılan denetimler sonucu özel güvenlik izni </w:t>
            </w:r>
            <w:r w:rsidR="00791218">
              <w:t>v</w:t>
            </w:r>
            <w:r>
              <w:t>erilen yere ait tespit edilen eksikliklerin giderilmesini sağlamak.</w:t>
            </w:r>
          </w:p>
          <w:p w:rsidR="001673D8" w:rsidRDefault="001673D8" w:rsidP="00791218">
            <w:pPr>
              <w:numPr>
                <w:ilvl w:val="0"/>
                <w:numId w:val="1"/>
              </w:numPr>
              <w:spacing w:after="0" w:line="259" w:lineRule="auto"/>
              <w:ind w:hanging="360"/>
            </w:pPr>
            <w:r>
              <w:t xml:space="preserve">Özel güvenlik izninin silahlı olması halinde, 6136 sayılı Kanun ve ilgili </w:t>
            </w:r>
            <w:r w:rsidR="00791218">
              <w:t xml:space="preserve">mevzuatında </w:t>
            </w:r>
            <w:r>
              <w:t xml:space="preserve">belirtilen şartları taşımak kaydıyla, özel güvenlik izni </w:t>
            </w:r>
            <w:r w:rsidR="00791218">
              <w:t>v</w:t>
            </w:r>
            <w:r>
              <w:t>erilen kişi veya yerin silah sorumlusu olarak göre</w:t>
            </w:r>
            <w:r w:rsidR="00791218">
              <w:t xml:space="preserve">v </w:t>
            </w:r>
            <w:r>
              <w:t>yapmak ya da silah sorumlusunu atamak.</w:t>
            </w:r>
          </w:p>
        </w:tc>
      </w:tr>
    </w:tbl>
    <w:p w:rsidR="001673D8" w:rsidRDefault="001673D8" w:rsidP="001673D8">
      <w:pPr>
        <w:spacing w:after="342"/>
        <w:ind w:left="547" w:right="57" w:firstLine="0"/>
      </w:pPr>
      <w:r>
        <w:t>AÇIKLAMALAR:</w:t>
      </w:r>
    </w:p>
    <w:p w:rsidR="001673D8" w:rsidRDefault="001673D8" w:rsidP="001A1902">
      <w:pPr>
        <w:spacing w:before="100" w:beforeAutospacing="1" w:afterLines="20" w:after="48"/>
        <w:ind w:left="0" w:right="57" w:firstLine="555"/>
      </w:pPr>
      <w:bookmarkStart w:id="0" w:name="_GoBack"/>
      <w:r>
        <w:t xml:space="preserve">Özel </w:t>
      </w:r>
      <w:r w:rsidR="00BE1934">
        <w:t>güv</w:t>
      </w:r>
      <w:r>
        <w:t xml:space="preserve">enlik birimlerince </w:t>
      </w:r>
      <w:r w:rsidR="00791218">
        <w:t>y</w:t>
      </w:r>
      <w:r>
        <w:t>apılacak bildirimler: kişi, kurum ve</w:t>
      </w:r>
      <w:r w:rsidR="00791218">
        <w:t>y</w:t>
      </w:r>
      <w:r>
        <w:t xml:space="preserve">a kuruluş yetkilisi tarafından </w:t>
      </w:r>
      <w:r w:rsidR="00791218">
        <w:t>y</w:t>
      </w:r>
      <w:r>
        <w:t xml:space="preserve">etkilendirilen kişi tarafından </w:t>
      </w:r>
      <w:r w:rsidR="00791218">
        <w:t>da yapılabilir. Bu durumda kişi,</w:t>
      </w:r>
      <w:r>
        <w:t xml:space="preserve"> kurum veya kuruluş </w:t>
      </w:r>
      <w:r w:rsidR="00791218">
        <w:t>ye</w:t>
      </w:r>
      <w:r>
        <w:t xml:space="preserve">tkilisi ile birlikte yetkilendirilen kişi </w:t>
      </w:r>
      <w:proofErr w:type="spellStart"/>
      <w:r>
        <w:t>müteselsilen</w:t>
      </w:r>
      <w:proofErr w:type="spellEnd"/>
      <w:r>
        <w:t xml:space="preserve"> sorumludur.</w:t>
      </w:r>
    </w:p>
    <w:p w:rsidR="001673D8" w:rsidRDefault="00791218" w:rsidP="001A1902">
      <w:pPr>
        <w:spacing w:before="100" w:beforeAutospacing="1" w:afterLines="20" w:after="48"/>
        <w:ind w:left="0" w:right="57" w:firstLine="555"/>
      </w:pPr>
      <w:r>
        <w:t>Ö</w:t>
      </w:r>
      <w:r w:rsidR="001673D8">
        <w:t xml:space="preserve">zel güvenlik izni </w:t>
      </w:r>
      <w:r>
        <w:t>v</w:t>
      </w:r>
      <w:r w:rsidR="001673D8">
        <w:t xml:space="preserve">erilen kişi veya yerlerde özel güvenlik hizmetlerinin </w:t>
      </w:r>
      <w:r>
        <w:t>y</w:t>
      </w:r>
      <w:r w:rsidR="001673D8">
        <w:t>ürütülmesinden sorumlu olan kişi, kurum veya kuruluş yetkilileri</w:t>
      </w:r>
      <w:r>
        <w:t>,</w:t>
      </w:r>
      <w:r w:rsidR="001673D8">
        <w:t xml:space="preserve"> Kanun ve ilgili me</w:t>
      </w:r>
      <w:r>
        <w:t>v</w:t>
      </w:r>
      <w:r w:rsidR="001673D8">
        <w:t>z</w:t>
      </w:r>
      <w:r>
        <w:t>u</w:t>
      </w:r>
      <w:r w:rsidR="001673D8">
        <w:t xml:space="preserve">atındaki (kendisine </w:t>
      </w:r>
      <w:r>
        <w:t>verilen</w:t>
      </w:r>
      <w:r w:rsidR="001673D8">
        <w:t>) yükümlülüklerden sorumludur.</w:t>
      </w:r>
    </w:p>
    <w:p w:rsidR="001673D8" w:rsidRDefault="001673D8" w:rsidP="001A1902">
      <w:pPr>
        <w:spacing w:before="100" w:beforeAutospacing="1" w:afterLines="20" w:after="48"/>
        <w:ind w:left="7" w:right="57" w:firstLine="555"/>
      </w:pPr>
      <w:r>
        <w:t>Kişi</w:t>
      </w:r>
      <w:r w:rsidR="00791218">
        <w:t>,</w:t>
      </w:r>
      <w:r>
        <w:t xml:space="preserve"> kurum veya kuruluş yetkilisi</w:t>
      </w:r>
      <w:r w:rsidR="001A1902">
        <w:t>,</w:t>
      </w:r>
      <w:r>
        <w:t xml:space="preserve"> göre</w:t>
      </w:r>
      <w:r w:rsidR="001A1902">
        <w:t>v</w:t>
      </w:r>
      <w:r>
        <w:t>inin sona ermesi durumunda gecikmeksizin ilgili Valili</w:t>
      </w:r>
      <w:r w:rsidR="001A1902">
        <w:t>ğ</w:t>
      </w:r>
      <w:r>
        <w:t>e bildirimde bulunması gerekir. Göre</w:t>
      </w:r>
      <w:r w:rsidR="001A1902">
        <w:t>v</w:t>
      </w:r>
      <w:r>
        <w:t xml:space="preserve">inin sona erdiğini bildirmemesi durumunda tüm sorumlulukları </w:t>
      </w:r>
      <w:r w:rsidR="001A1902">
        <w:t>dev</w:t>
      </w:r>
      <w:r>
        <w:t>am eder.</w:t>
      </w:r>
    </w:p>
    <w:p w:rsidR="001673D8" w:rsidRDefault="001673D8" w:rsidP="001A1902">
      <w:pPr>
        <w:spacing w:before="100" w:beforeAutospacing="1" w:afterLines="20" w:after="48" w:line="257" w:lineRule="auto"/>
        <w:ind w:left="7" w:right="7" w:firstLine="562"/>
        <w:rPr>
          <w:noProof/>
        </w:rPr>
      </w:pPr>
      <w:r>
        <w:rPr>
          <w:noProof/>
        </w:rPr>
        <w:drawing>
          <wp:inline distT="0" distB="0" distL="0" distR="0" wp14:anchorId="4EAAB618" wp14:editId="0618A458">
            <wp:extent cx="416248" cy="22869"/>
            <wp:effectExtent l="0" t="0" r="0" b="0"/>
            <wp:docPr id="515980" name="Picture 515980"/>
            <wp:cNvGraphicFramePr/>
            <a:graphic xmlns:a="http://schemas.openxmlformats.org/drawingml/2006/main">
              <a:graphicData uri="http://schemas.openxmlformats.org/drawingml/2006/picture">
                <pic:pic xmlns:pic="http://schemas.openxmlformats.org/drawingml/2006/picture">
                  <pic:nvPicPr>
                    <pic:cNvPr id="515980" name="Picture 515980"/>
                    <pic:cNvPicPr/>
                  </pic:nvPicPr>
                  <pic:blipFill>
                    <a:blip r:embed="rId5"/>
                    <a:stretch>
                      <a:fillRect/>
                    </a:stretch>
                  </pic:blipFill>
                  <pic:spPr>
                    <a:xfrm>
                      <a:off x="0" y="0"/>
                      <a:ext cx="416248" cy="22869"/>
                    </a:xfrm>
                    <a:prstGeom prst="rect">
                      <a:avLst/>
                    </a:prstGeom>
                  </pic:spPr>
                </pic:pic>
              </a:graphicData>
            </a:graphic>
          </wp:inline>
        </w:drawing>
      </w:r>
      <w:r>
        <w:rPr>
          <w:sz w:val="22"/>
        </w:rPr>
        <w:t>Belge No.</w:t>
      </w:r>
      <w:r w:rsidR="0021186F">
        <w:rPr>
          <w:sz w:val="22"/>
        </w:rPr>
        <w:t xml:space="preserve">lu </w:t>
      </w:r>
      <w:r>
        <w:rPr>
          <w:noProof/>
        </w:rPr>
        <w:drawing>
          <wp:inline distT="0" distB="0" distL="0" distR="0" wp14:anchorId="7A656D7A" wp14:editId="2025D34A">
            <wp:extent cx="2017201" cy="22868"/>
            <wp:effectExtent l="0" t="0" r="0" b="0"/>
            <wp:docPr id="515982" name="Picture 515982"/>
            <wp:cNvGraphicFramePr/>
            <a:graphic xmlns:a="http://schemas.openxmlformats.org/drawingml/2006/main">
              <a:graphicData uri="http://schemas.openxmlformats.org/drawingml/2006/picture">
                <pic:pic xmlns:pic="http://schemas.openxmlformats.org/drawingml/2006/picture">
                  <pic:nvPicPr>
                    <pic:cNvPr id="515982" name="Picture 515982"/>
                    <pic:cNvPicPr/>
                  </pic:nvPicPr>
                  <pic:blipFill>
                    <a:blip r:embed="rId6"/>
                    <a:stretch>
                      <a:fillRect/>
                    </a:stretch>
                  </pic:blipFill>
                  <pic:spPr>
                    <a:xfrm>
                      <a:off x="0" y="0"/>
                      <a:ext cx="2017201" cy="22868"/>
                    </a:xfrm>
                    <a:prstGeom prst="rect">
                      <a:avLst/>
                    </a:prstGeom>
                  </pic:spPr>
                </pic:pic>
              </a:graphicData>
            </a:graphic>
          </wp:inline>
        </w:drawing>
      </w:r>
      <w:r w:rsidR="0021186F">
        <w:rPr>
          <w:sz w:val="22"/>
        </w:rPr>
        <w:t xml:space="preserve">  </w:t>
      </w:r>
      <w:r>
        <w:rPr>
          <w:sz w:val="22"/>
        </w:rPr>
        <w:t xml:space="preserve">unvanlı </w:t>
      </w:r>
      <w:r w:rsidR="001A1902">
        <w:rPr>
          <w:sz w:val="22"/>
        </w:rPr>
        <w:t>y</w:t>
      </w:r>
      <w:r>
        <w:rPr>
          <w:sz w:val="22"/>
        </w:rPr>
        <w:t>erde kişi</w:t>
      </w:r>
      <w:r w:rsidR="001A1902">
        <w:rPr>
          <w:sz w:val="22"/>
        </w:rPr>
        <w:t>,</w:t>
      </w:r>
      <w:r>
        <w:rPr>
          <w:sz w:val="22"/>
        </w:rPr>
        <w:t xml:space="preserve"> kurum ve kuruluş </w:t>
      </w:r>
      <w:r w:rsidR="001A1902">
        <w:rPr>
          <w:sz w:val="22"/>
        </w:rPr>
        <w:t>yetkilisi</w:t>
      </w:r>
      <w:r>
        <w:rPr>
          <w:sz w:val="22"/>
        </w:rPr>
        <w:t xml:space="preserve"> olarak göre</w:t>
      </w:r>
      <w:r w:rsidR="001A1902">
        <w:rPr>
          <w:sz w:val="22"/>
        </w:rPr>
        <w:t>vl</w:t>
      </w:r>
      <w:r>
        <w:rPr>
          <w:sz w:val="22"/>
        </w:rPr>
        <w:t>endirilen</w:t>
      </w:r>
      <w:r>
        <w:rPr>
          <w:noProof/>
        </w:rPr>
        <w:drawing>
          <wp:inline distT="0" distB="0" distL="0" distR="0" wp14:anchorId="66277BFF" wp14:editId="13CCD5BC">
            <wp:extent cx="1212150" cy="105196"/>
            <wp:effectExtent l="0" t="0" r="0" b="0"/>
            <wp:docPr id="515984" name="Picture 515984"/>
            <wp:cNvGraphicFramePr/>
            <a:graphic xmlns:a="http://schemas.openxmlformats.org/drawingml/2006/main">
              <a:graphicData uri="http://schemas.openxmlformats.org/drawingml/2006/picture">
                <pic:pic xmlns:pic="http://schemas.openxmlformats.org/drawingml/2006/picture">
                  <pic:nvPicPr>
                    <pic:cNvPr id="515984" name="Picture 515984"/>
                    <pic:cNvPicPr/>
                  </pic:nvPicPr>
                  <pic:blipFill>
                    <a:blip r:embed="rId7"/>
                    <a:stretch>
                      <a:fillRect/>
                    </a:stretch>
                  </pic:blipFill>
                  <pic:spPr>
                    <a:xfrm>
                      <a:off x="0" y="0"/>
                      <a:ext cx="1212150" cy="105196"/>
                    </a:xfrm>
                    <a:prstGeom prst="rect">
                      <a:avLst/>
                    </a:prstGeom>
                  </pic:spPr>
                </pic:pic>
              </a:graphicData>
            </a:graphic>
          </wp:inline>
        </w:drawing>
      </w:r>
      <w:r>
        <w:rPr>
          <w:sz w:val="22"/>
        </w:rPr>
        <w:t xml:space="preserve"> </w:t>
      </w:r>
      <w:r w:rsidR="001A1902">
        <w:rPr>
          <w:sz w:val="22"/>
        </w:rPr>
        <w:t>y</w:t>
      </w:r>
      <w:r>
        <w:rPr>
          <w:sz w:val="22"/>
        </w:rPr>
        <w:t xml:space="preserve">ukarıda </w:t>
      </w:r>
      <w:r w:rsidR="001A1902">
        <w:rPr>
          <w:sz w:val="22"/>
        </w:rPr>
        <w:t>sayılan</w:t>
      </w:r>
      <w:r>
        <w:rPr>
          <w:sz w:val="22"/>
        </w:rPr>
        <w:t xml:space="preserve"> göre</w:t>
      </w:r>
      <w:r w:rsidR="001A1902">
        <w:rPr>
          <w:sz w:val="22"/>
        </w:rPr>
        <w:t>v</w:t>
      </w:r>
      <w:r>
        <w:rPr>
          <w:sz w:val="22"/>
        </w:rPr>
        <w:t xml:space="preserve"> ve sorumlul</w:t>
      </w:r>
      <w:r w:rsidR="001A1902">
        <w:rPr>
          <w:sz w:val="22"/>
        </w:rPr>
        <w:t>u</w:t>
      </w:r>
      <w:r>
        <w:rPr>
          <w:sz w:val="22"/>
        </w:rPr>
        <w:t>kları tebliğ edilmiştir</w:t>
      </w:r>
      <w:r w:rsidR="001A1902">
        <w:rPr>
          <w:noProof/>
        </w:rPr>
        <w:t>.     …./…./20…</w:t>
      </w:r>
    </w:p>
    <w:bookmarkEnd w:id="0"/>
    <w:p w:rsidR="0021186F" w:rsidRDefault="0021186F" w:rsidP="001A1902">
      <w:pPr>
        <w:spacing w:before="100" w:beforeAutospacing="1" w:afterLines="20" w:after="48" w:line="257" w:lineRule="auto"/>
        <w:ind w:left="7" w:right="7" w:firstLine="562"/>
        <w:rPr>
          <w:noProof/>
        </w:rPr>
      </w:pPr>
    </w:p>
    <w:p w:rsidR="0021186F" w:rsidRDefault="0021186F" w:rsidP="001A1902">
      <w:pPr>
        <w:spacing w:before="100" w:beforeAutospacing="1" w:afterLines="20" w:after="48" w:line="257" w:lineRule="auto"/>
        <w:ind w:left="7" w:right="7" w:firstLine="562"/>
        <w:rPr>
          <w:noProof/>
        </w:rPr>
      </w:pPr>
      <w:r>
        <w:rPr>
          <w:noProof/>
        </w:rPr>
        <w:t>Tebliğ Eden</w:t>
      </w:r>
      <w:r>
        <w:rPr>
          <w:noProof/>
        </w:rPr>
        <w:tab/>
      </w:r>
      <w:r>
        <w:rPr>
          <w:noProof/>
        </w:rPr>
        <w:tab/>
      </w:r>
      <w:r>
        <w:rPr>
          <w:noProof/>
        </w:rPr>
        <w:tab/>
      </w:r>
      <w:r>
        <w:rPr>
          <w:noProof/>
        </w:rPr>
        <w:tab/>
      </w:r>
      <w:r>
        <w:rPr>
          <w:noProof/>
        </w:rPr>
        <w:tab/>
      </w:r>
      <w:r>
        <w:rPr>
          <w:noProof/>
        </w:rPr>
        <w:tab/>
        <w:t xml:space="preserve">          Tebellüğ Eden</w:t>
      </w:r>
    </w:p>
    <w:p w:rsidR="0021186F" w:rsidRDefault="0021186F" w:rsidP="001A1902">
      <w:pPr>
        <w:spacing w:before="100" w:beforeAutospacing="1" w:afterLines="20" w:after="48" w:line="257" w:lineRule="auto"/>
        <w:ind w:left="7" w:right="7" w:firstLine="562"/>
        <w:rPr>
          <w:noProof/>
        </w:rPr>
      </w:pPr>
      <w:r>
        <w:rPr>
          <w:noProof/>
        </w:rPr>
        <w:tab/>
      </w:r>
      <w:r>
        <w:rPr>
          <w:noProof/>
        </w:rPr>
        <w:tab/>
      </w:r>
      <w:r>
        <w:rPr>
          <w:noProof/>
        </w:rPr>
        <w:tab/>
      </w:r>
      <w:r>
        <w:rPr>
          <w:noProof/>
        </w:rPr>
        <w:tab/>
      </w:r>
      <w:r>
        <w:rPr>
          <w:noProof/>
        </w:rPr>
        <w:tab/>
      </w:r>
      <w:r>
        <w:rPr>
          <w:noProof/>
        </w:rPr>
        <w:tab/>
      </w:r>
      <w:r>
        <w:rPr>
          <w:noProof/>
        </w:rPr>
        <w:tab/>
        <w:t xml:space="preserve">         Kişi, Kurum veya Kuruluş Yetkilisi</w:t>
      </w:r>
    </w:p>
    <w:sectPr w:rsidR="0021186F" w:rsidSect="001A1902">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2D9F"/>
    <w:multiLevelType w:val="hybridMultilevel"/>
    <w:tmpl w:val="BF98B0D0"/>
    <w:lvl w:ilvl="0" w:tplc="86AA8D1A">
      <w:start w:val="1"/>
      <w:numFmt w:val="lowerLetter"/>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E9086">
      <w:start w:val="1"/>
      <w:numFmt w:val="lowerLetter"/>
      <w:lvlText w:val="%2"/>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2616">
      <w:start w:val="1"/>
      <w:numFmt w:val="lowerRoman"/>
      <w:lvlText w:val="%3"/>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BC3F80">
      <w:start w:val="1"/>
      <w:numFmt w:val="decimal"/>
      <w:lvlText w:val="%4"/>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224C14">
      <w:start w:val="1"/>
      <w:numFmt w:val="lowerLetter"/>
      <w:lvlText w:val="%5"/>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A0CB4">
      <w:start w:val="1"/>
      <w:numFmt w:val="lowerRoman"/>
      <w:lvlText w:val="%6"/>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24451E">
      <w:start w:val="1"/>
      <w:numFmt w:val="decimal"/>
      <w:lvlText w:val="%7"/>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CF4D6">
      <w:start w:val="1"/>
      <w:numFmt w:val="lowerLetter"/>
      <w:lvlText w:val="%8"/>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88136">
      <w:start w:val="1"/>
      <w:numFmt w:val="lowerRoman"/>
      <w:lvlText w:val="%9"/>
      <w:lvlJc w:val="left"/>
      <w:pPr>
        <w:ind w:left="6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85F"/>
    <w:rsid w:val="00012127"/>
    <w:rsid w:val="0003521C"/>
    <w:rsid w:val="00123E34"/>
    <w:rsid w:val="001673D8"/>
    <w:rsid w:val="001A1902"/>
    <w:rsid w:val="0021186F"/>
    <w:rsid w:val="0038790A"/>
    <w:rsid w:val="00791218"/>
    <w:rsid w:val="008D234E"/>
    <w:rsid w:val="00BE1934"/>
    <w:rsid w:val="00C670EB"/>
    <w:rsid w:val="00DB785F"/>
    <w:rsid w:val="00DE2E10"/>
    <w:rsid w:val="00E94A86"/>
    <w:rsid w:val="00EA6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B0D8"/>
  <w15:chartTrackingRefBased/>
  <w15:docId w15:val="{EBCCF67A-B76A-4DF6-A573-9BC9B80A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3D8"/>
    <w:pPr>
      <w:spacing w:after="119" w:line="254" w:lineRule="auto"/>
      <w:ind w:left="43" w:firstLine="840"/>
      <w:jc w:val="both"/>
    </w:pPr>
    <w:rPr>
      <w:rFonts w:ascii="Times New Roman" w:eastAsia="Times New Roman" w:hAnsi="Times New Roman" w:cs="Times New Roman"/>
      <w:color w:val="000000"/>
      <w:sz w:val="24"/>
      <w:lang w:eastAsia="tr-TR"/>
    </w:rPr>
  </w:style>
  <w:style w:type="paragraph" w:styleId="Balk2">
    <w:name w:val="heading 2"/>
    <w:next w:val="Normal"/>
    <w:link w:val="Balk2Char"/>
    <w:uiPriority w:val="9"/>
    <w:unhideWhenUsed/>
    <w:qFormat/>
    <w:rsid w:val="001673D8"/>
    <w:pPr>
      <w:keepNext/>
      <w:keepLines/>
      <w:spacing w:after="132" w:line="249" w:lineRule="auto"/>
      <w:ind w:left="946" w:hanging="10"/>
      <w:outlineLvl w:val="1"/>
    </w:pPr>
    <w:rPr>
      <w:rFonts w:ascii="Times New Roman" w:eastAsia="Times New Roman" w:hAnsi="Times New Roman" w:cs="Times New Roman"/>
      <w:color w:val="000000"/>
      <w:sz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673D8"/>
    <w:rPr>
      <w:rFonts w:ascii="Times New Roman" w:eastAsia="Times New Roman" w:hAnsi="Times New Roman" w:cs="Times New Roman"/>
      <w:color w:val="000000"/>
      <w:sz w:val="26"/>
      <w:lang w:eastAsia="tr-TR"/>
    </w:rPr>
  </w:style>
  <w:style w:type="table" w:customStyle="1" w:styleId="TableGrid">
    <w:name w:val="TableGrid"/>
    <w:rsid w:val="001673D8"/>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314</Words>
  <Characters>1796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GÜRSOY</dc:creator>
  <cp:keywords/>
  <dc:description/>
  <cp:lastModifiedBy>MEHMET GÜRSOY</cp:lastModifiedBy>
  <cp:revision>6</cp:revision>
  <dcterms:created xsi:type="dcterms:W3CDTF">2021-12-30T12:46:00Z</dcterms:created>
  <dcterms:modified xsi:type="dcterms:W3CDTF">2023-09-25T08:50:00Z</dcterms:modified>
</cp:coreProperties>
</file>